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12" w:rsidRPr="00893B12" w:rsidRDefault="00893B12" w:rsidP="00893B12">
      <w:pPr>
        <w:jc w:val="center"/>
        <w:rPr>
          <w:b/>
          <w:color w:val="1F497D"/>
          <w:lang w:val="en-US"/>
        </w:rPr>
      </w:pPr>
      <w:proofErr w:type="spellStart"/>
      <w:r w:rsidRPr="00893B12">
        <w:rPr>
          <w:b/>
          <w:color w:val="1F497D"/>
        </w:rPr>
        <w:t>Dors</w:t>
      </w:r>
      <w:proofErr w:type="spellEnd"/>
      <w:r w:rsidRPr="00893B12">
        <w:rPr>
          <w:b/>
          <w:color w:val="1F497D"/>
        </w:rPr>
        <w:t xml:space="preserve"> CT2015. Программирование</w:t>
      </w:r>
    </w:p>
    <w:p w:rsidR="00893B12" w:rsidRPr="00893B12" w:rsidRDefault="00893B12" w:rsidP="00893B12">
      <w:pPr>
        <w:jc w:val="center"/>
        <w:rPr>
          <w:color w:val="1F497D"/>
          <w:lang w:val="en-US"/>
        </w:rPr>
      </w:pPr>
    </w:p>
    <w:p w:rsidR="00A96B7F" w:rsidRDefault="00A96B7F" w:rsidP="00A96B7F">
      <w:pPr>
        <w:pStyle w:val="a3"/>
        <w:numPr>
          <w:ilvl w:val="0"/>
          <w:numId w:val="1"/>
        </w:numPr>
        <w:rPr>
          <w:color w:val="1F497D"/>
        </w:rPr>
      </w:pPr>
      <w:r>
        <w:rPr>
          <w:noProof/>
          <w:color w:val="1F497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299085</wp:posOffset>
            </wp:positionV>
            <wp:extent cx="3200400" cy="2238375"/>
            <wp:effectExtent l="19050" t="0" r="0" b="0"/>
            <wp:wrapTopAndBottom/>
            <wp:docPr id="2" name="Рисунок 2" descr="_`$$61`)UFL65WVR79())7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_`$$61`)UFL65WVR79())7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1F497D"/>
        </w:rPr>
        <w:t>Копируем (без переименования!) файл «</w:t>
      </w:r>
      <w:proofErr w:type="spellStart"/>
      <w:r>
        <w:rPr>
          <w:color w:val="1F497D"/>
          <w:lang w:val="en-US"/>
        </w:rPr>
        <w:t>upses</w:t>
      </w:r>
      <w:proofErr w:type="spellEnd"/>
      <w:r>
        <w:rPr>
          <w:color w:val="1F497D"/>
        </w:rPr>
        <w:t>1.</w:t>
      </w:r>
      <w:proofErr w:type="spellStart"/>
      <w:r>
        <w:rPr>
          <w:color w:val="1F497D"/>
          <w:lang w:val="en-US"/>
        </w:rPr>
        <w:t>ses</w:t>
      </w:r>
      <w:proofErr w:type="spellEnd"/>
      <w:r>
        <w:rPr>
          <w:color w:val="1F497D"/>
        </w:rPr>
        <w:t xml:space="preserve">» на </w:t>
      </w:r>
      <w:proofErr w:type="gramStart"/>
      <w:r>
        <w:rPr>
          <w:color w:val="1F497D"/>
        </w:rPr>
        <w:t>чистую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флешку</w:t>
      </w:r>
      <w:proofErr w:type="spellEnd"/>
    </w:p>
    <w:p w:rsidR="00A96B7F" w:rsidRDefault="00A96B7F" w:rsidP="00A96B7F">
      <w:pPr>
        <w:pStyle w:val="a3"/>
        <w:rPr>
          <w:color w:val="1F497D"/>
        </w:rPr>
      </w:pPr>
    </w:p>
    <w:p w:rsidR="00A96B7F" w:rsidRDefault="00A96B7F" w:rsidP="00A96B7F">
      <w:pPr>
        <w:pStyle w:val="a3"/>
        <w:numPr>
          <w:ilvl w:val="0"/>
          <w:numId w:val="1"/>
        </w:numPr>
        <w:rPr>
          <w:color w:val="1F497D"/>
        </w:rPr>
      </w:pPr>
      <w:proofErr w:type="spellStart"/>
      <w:r>
        <w:rPr>
          <w:color w:val="1F497D"/>
        </w:rPr>
        <w:t>Флешку</w:t>
      </w:r>
      <w:proofErr w:type="spellEnd"/>
      <w:r>
        <w:rPr>
          <w:color w:val="1F497D"/>
        </w:rPr>
        <w:t xml:space="preserve"> вставляем в </w:t>
      </w:r>
      <w:r>
        <w:rPr>
          <w:color w:val="1F497D"/>
          <w:lang w:val="en-US"/>
        </w:rPr>
        <w:t>U</w:t>
      </w:r>
      <w:r>
        <w:rPr>
          <w:color w:val="1F497D"/>
        </w:rPr>
        <w:t>-ключ</w:t>
      </w:r>
    </w:p>
    <w:p w:rsidR="00A96B7F" w:rsidRDefault="004A3097" w:rsidP="00A96B7F">
      <w:pPr>
        <w:pStyle w:val="a3"/>
        <w:numPr>
          <w:ilvl w:val="0"/>
          <w:numId w:val="1"/>
        </w:numPr>
        <w:rPr>
          <w:color w:val="1F497D"/>
        </w:rPr>
      </w:pPr>
      <w:r>
        <w:rPr>
          <w:noProof/>
          <w:color w:val="1F497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270510</wp:posOffset>
            </wp:positionV>
            <wp:extent cx="1343025" cy="1937385"/>
            <wp:effectExtent l="19050" t="0" r="9525" b="0"/>
            <wp:wrapTopAndBottom/>
            <wp:docPr id="4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3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1F497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270510</wp:posOffset>
            </wp:positionV>
            <wp:extent cx="1385570" cy="1943100"/>
            <wp:effectExtent l="19050" t="0" r="5080" b="0"/>
            <wp:wrapTopAndBottom/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6B7F">
        <w:rPr>
          <w:color w:val="1F497D"/>
        </w:rPr>
        <w:t>Нажимаем левую кнопку на  приборе и  одновременно включаем его:</w:t>
      </w:r>
    </w:p>
    <w:p w:rsidR="00A96B7F" w:rsidRDefault="00387028" w:rsidP="00A96B7F">
      <w:pPr>
        <w:pStyle w:val="a3"/>
        <w:numPr>
          <w:ilvl w:val="0"/>
          <w:numId w:val="1"/>
        </w:numPr>
        <w:rPr>
          <w:color w:val="1F497D"/>
        </w:rPr>
      </w:pPr>
      <w:r>
        <w:rPr>
          <w:noProof/>
          <w:color w:val="1F497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2471420</wp:posOffset>
            </wp:positionV>
            <wp:extent cx="1257300" cy="2019300"/>
            <wp:effectExtent l="19050" t="0" r="0" b="0"/>
            <wp:wrapTopAndBottom/>
            <wp:docPr id="5" name="Рисунок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1F497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2452370</wp:posOffset>
            </wp:positionV>
            <wp:extent cx="1247775" cy="2038350"/>
            <wp:effectExtent l="19050" t="0" r="9525" b="0"/>
            <wp:wrapTopAndBottom/>
            <wp:docPr id="6" name="Рисунок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6B7F">
        <w:rPr>
          <w:color w:val="1F497D"/>
        </w:rPr>
        <w:t xml:space="preserve">Вставляем </w:t>
      </w:r>
      <w:r w:rsidR="00A96B7F">
        <w:rPr>
          <w:color w:val="1F497D"/>
          <w:lang w:val="en-US"/>
        </w:rPr>
        <w:t>U</w:t>
      </w:r>
      <w:r w:rsidR="00A96B7F">
        <w:rPr>
          <w:color w:val="1F497D"/>
        </w:rPr>
        <w:t xml:space="preserve">-ключ с </w:t>
      </w:r>
      <w:proofErr w:type="spellStart"/>
      <w:r w:rsidR="00A96B7F">
        <w:rPr>
          <w:color w:val="1F497D"/>
        </w:rPr>
        <w:t>флешкой</w:t>
      </w:r>
      <w:proofErr w:type="spellEnd"/>
      <w:r w:rsidR="00A96B7F">
        <w:rPr>
          <w:color w:val="1F497D"/>
        </w:rPr>
        <w:t xml:space="preserve"> в прибор:</w:t>
      </w:r>
    </w:p>
    <w:p w:rsidR="00A96B7F" w:rsidRDefault="00A96B7F" w:rsidP="00A96B7F">
      <w:pPr>
        <w:rPr>
          <w:color w:val="1F497D"/>
        </w:rPr>
      </w:pPr>
    </w:p>
    <w:p w:rsidR="00A96B7F" w:rsidRDefault="00A96B7F" w:rsidP="00A96B7F">
      <w:pPr>
        <w:rPr>
          <w:color w:val="1F497D"/>
        </w:rPr>
      </w:pPr>
      <w:r>
        <w:rPr>
          <w:color w:val="1F497D"/>
        </w:rPr>
        <w:t>Если процесс инсталляции нормальный – красный светодиод не мигает. После удачной инсталляции загорается зеленый светодиод и на дисплее высвечивается версия новой прошивки:</w:t>
      </w:r>
    </w:p>
    <w:p w:rsidR="00893B12" w:rsidRDefault="00893B12">
      <w:pPr>
        <w:rPr>
          <w:color w:val="1F497D"/>
        </w:rPr>
      </w:pPr>
    </w:p>
    <w:sectPr w:rsidR="00893B12" w:rsidSect="00D1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01594"/>
    <w:multiLevelType w:val="hybridMultilevel"/>
    <w:tmpl w:val="0A4C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B7F"/>
    <w:rsid w:val="00387028"/>
    <w:rsid w:val="004A3097"/>
    <w:rsid w:val="00893B12"/>
    <w:rsid w:val="00A96B7F"/>
    <w:rsid w:val="00D1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7F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B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4</cp:revision>
  <dcterms:created xsi:type="dcterms:W3CDTF">2017-10-17T07:18:00Z</dcterms:created>
  <dcterms:modified xsi:type="dcterms:W3CDTF">2017-10-17T07:37:00Z</dcterms:modified>
</cp:coreProperties>
</file>